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адміністративної послуги з виплати одноразової винагороди жінкам, яким</w:t>
      </w:r>
    </w:p>
    <w:p>
      <w:pPr>
        <w:pStyle w:val="Default"/>
        <w:jc w:val="center"/>
        <w:rPr>
          <w:sz w:val="28"/>
          <w:szCs w:val="28"/>
        </w:rPr>
      </w:pPr>
      <w:r>
        <w:rPr>
          <w:b/>
          <w:color w:val="auto"/>
          <w:sz w:val="28"/>
          <w:szCs w:val="28"/>
        </w:rPr>
        <w:t>присвоєно почесне звання України “Мати-героїня”</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711"/>
        <w:gridCol w:w="6424"/>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424"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424"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424"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424"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державні нагороди України”;</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pPr>
            <w:r>
              <w:rPr>
                <w:sz w:val="28"/>
                <w:szCs w:val="28"/>
              </w:rPr>
              <w:t>Акти Кабінету Міністрів України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 xml:space="preserve"> </w:t>
            </w:r>
            <w:r>
              <w:rPr>
                <w:sz w:val="28"/>
                <w:szCs w:val="28"/>
                <w:lang w:val="uk-UA"/>
              </w:rPr>
              <w:t>П</w:t>
            </w:r>
            <w:r>
              <w:rPr>
                <w:sz w:val="28"/>
                <w:szCs w:val="28"/>
              </w:rPr>
              <w:t>орядок виплати одноразової винагороди жінкам, яким присвоєно почесне звання України “Мати-героїня”, затверджений постановою Кабінету Міністрів України від 28 лютого 2011 року № 268;</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25 червня 2025 року № 765 “Деякі питання призначення та виплати державних соціальних допомог, соціальних стипендій органами Пенсійного фонду України” (далі – постанова № 765).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p>
            <w:pPr>
              <w:pStyle w:val="Normal"/>
              <w:widowControl w:val="false"/>
              <w:tabs>
                <w:tab w:val="clear" w:pos="708"/>
                <w:tab w:val="left" w:pos="229" w:leader="none"/>
              </w:tabs>
              <w:ind w:firstLine="390"/>
              <w:rPr>
                <w:sz w:val="28"/>
                <w:szCs w:val="28"/>
              </w:rPr>
            </w:pPr>
            <w:r>
              <w:rPr>
                <w:sz w:val="28"/>
                <w:szCs w:val="28"/>
              </w:rPr>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 xml:space="preserve"> </w:t>
            </w:r>
            <w:r>
              <w:rPr>
                <w:color w:val="000000" w:themeColor="text1"/>
                <w:sz w:val="28"/>
                <w:szCs w:val="28"/>
                <w:shd w:fill="FFFFFF" w:val="clear"/>
              </w:rPr>
              <w:t>Жінка, якій присвоєно почесне звання України “Мати-героїня”;</w:t>
            </w:r>
          </w:p>
          <w:p>
            <w:pPr>
              <w:pStyle w:val="Normal"/>
              <w:widowControl w:val="false"/>
              <w:ind w:firstLine="390"/>
              <w:rPr>
                <w:sz w:val="28"/>
                <w:szCs w:val="28"/>
              </w:rPr>
            </w:pPr>
            <w:r>
              <w:rPr>
                <w:color w:val="000000" w:themeColor="text1"/>
                <w:sz w:val="28"/>
                <w:szCs w:val="28"/>
                <w:shd w:fill="FFFFFF" w:val="clear"/>
              </w:rPr>
              <w:t>уповноважена нею особа</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424"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 xml:space="preserve"> </w:t>
            </w:r>
            <w:r>
              <w:rPr>
                <w:color w:val="000000" w:themeColor="text1"/>
                <w:sz w:val="28"/>
                <w:szCs w:val="28"/>
              </w:rPr>
              <w:t>Заявниця, особа якої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затвердженою постановою № 765;</w:t>
            </w:r>
          </w:p>
          <w:p>
            <w:pPr>
              <w:pStyle w:val="Normal"/>
              <w:widowControl w:val="false"/>
              <w:shd w:val="clear" w:color="auto" w:fill="FFFFFF"/>
              <w:spacing w:before="0" w:after="150"/>
              <w:ind w:firstLine="390"/>
              <w:contextualSpacing/>
              <w:rPr>
                <w:sz w:val="28"/>
                <w:szCs w:val="28"/>
              </w:rPr>
            </w:pPr>
            <w:r>
              <w:rPr>
                <w:color w:val="000000" w:themeColor="text1"/>
                <w:sz w:val="28"/>
                <w:szCs w:val="28"/>
              </w:rPr>
              <w:t>Указ Президента України про присвоєння почесного звання “Мати-героїня”;</w:t>
            </w:r>
          </w:p>
          <w:p>
            <w:pPr>
              <w:pStyle w:val="Normal"/>
              <w:widowControl w:val="false"/>
              <w:shd w:val="clear" w:color="auto" w:fill="FFFFFF"/>
              <w:spacing w:before="0" w:after="150"/>
              <w:ind w:firstLine="390"/>
              <w:contextualSpacing/>
              <w:rPr>
                <w:sz w:val="28"/>
                <w:szCs w:val="28"/>
              </w:rPr>
            </w:pPr>
            <w:r>
              <w:rPr>
                <w:color w:val="000000" w:themeColor="text1"/>
                <w:sz w:val="28"/>
                <w:szCs w:val="28"/>
              </w:rPr>
              <w:t>нотаріально засвідчений документ, що підтверджує право уповноваженої особи представляти жінку, якій присвоєно почесне звання.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 xml:space="preserve"> </w:t>
            </w:r>
            <w:r>
              <w:rPr>
                <w:sz w:val="28"/>
                <w:szCs w:val="28"/>
              </w:rPr>
              <w:t>Заява розглядається не пізніше ніж протягом 10 днів після її надходження з усіма необхідними документами та/або відомостями.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Не встановлено особу жінки, якій присвоєно почесне звання.</w:t>
            </w:r>
          </w:p>
          <w:p>
            <w:pPr>
              <w:pStyle w:val="Normal"/>
              <w:widowControl w:val="false"/>
              <w:tabs>
                <w:tab w:val="clear" w:pos="708"/>
                <w:tab w:val="left" w:pos="229" w:leader="none"/>
                <w:tab w:val="left" w:pos="1565" w:leader="none"/>
              </w:tabs>
              <w:ind w:firstLine="390"/>
              <w:rPr>
                <w:sz w:val="28"/>
                <w:szCs w:val="28"/>
              </w:rPr>
            </w:pPr>
            <w:r>
              <w:rPr>
                <w:sz w:val="28"/>
                <w:szCs w:val="28"/>
              </w:rPr>
              <w:t>У разі коли необхідні документи та/або відомості не подані протягом 30 календарних днів з дня одержання повідомлення органу Пенсійного фонду України.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424"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допомоги / відмову у виплаті винагороди.</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до заяви не додані всі необхідні документи та/або відомості, орган Пенсійного фонду України повідомляє заявника, які документи та/або відомості мають бути подані додатково. Якщо вони будуть подані не пізніше ніж протягом 30 календарних днів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711"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424"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повідомляє про прийняте рішення невідкладно, а за наявності обґрунтованих причин – не більш як через три робочі дні з дня прийняття відповідного рішення шляхом надсилання повідомлення у паперовій або електронній формі (за наявності адреси електронної пошти).</w:t>
            </w:r>
          </w:p>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4</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Application>LibreOffice/7.1.0.3$Windows_X86_64 LibreOffice_project/f6099ecf3d29644b5008cc8f48f42f4a40986e4c</Application>
  <AppVersion>15.0000</AppVersion>
  <Pages>4</Pages>
  <Words>697</Words>
  <Characters>4739</Characters>
  <CharactersWithSpaces>5415</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2025-08-07T09:40:12Z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