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06.08.2025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надання щорічної допомоги на оздоровлення особам з інвалідністю та дітям з інвалідністю до 18 років, яким встановлено інвалідність внаслідок одержаних на території України ушкоджень здоров’я, спричинених вибухонебезпечними предметами, визначеними пунктом 1 частини першої статті 1 Закону України “Про протимінну діяльність в Україні” </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897"/>
        <w:gridCol w:w="6238"/>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протимінну діяльність в Україні”;</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Кабінету Міністрів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Порядок надання одноразової компенсації особам з інвалідністю та дітям з інвалідністю, постраждалим внаслідок дії вибухонебезпечних предметів, затверджений постановою Кабінету Міністрів України від 29 вересня 2021 року № 1020;</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15 листопада 2024 року № 1338 “Деякі питання запровадження оцінювання повсякденного функціонування особи”;</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21 листопада 2013 року № 917 “Деякі питання встановлення лікарсько-консультативними комісіями інвалідності дітям”;</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Особи з інвалідністю та діти з інвалідністю до 18 років, яким встановлено інвалідність унаслідок одержаних на території України ушкоджень здоров’я, спричинених вибухонебезпечними предметами, визначеними пунктом 1 частини першої статті 1 Закону України “Про протимінну діяльність в Україні” (далі – постраждалі особи).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Постраждалі особи / законні представники, особа яких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в Державному реєстрі фізичних 3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для дітей віком до 14 років – копія свідоцтва про народження дитини або за технічної можливості е-свідоцтва про народження;</w:t>
            </w:r>
          </w:p>
          <w:p>
            <w:pPr>
              <w:pStyle w:val="Normal"/>
              <w:widowControl w:val="false"/>
              <w:shd w:val="clear" w:color="auto" w:fill="FFFFFF"/>
              <w:spacing w:before="0" w:after="150"/>
              <w:ind w:firstLine="390"/>
              <w:contextualSpacing/>
              <w:rPr>
                <w:sz w:val="28"/>
                <w:szCs w:val="28"/>
              </w:rPr>
            </w:pPr>
            <w:r>
              <w:rPr>
                <w:color w:val="000000" w:themeColor="text1"/>
                <w:sz w:val="28"/>
                <w:szCs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 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pPr>
              <w:pStyle w:val="Normal"/>
              <w:widowControl w:val="false"/>
              <w:shd w:val="clear" w:color="auto" w:fill="FFFFFF"/>
              <w:spacing w:before="0" w:after="150"/>
              <w:ind w:firstLine="390"/>
              <w:contextualSpacing/>
              <w:rPr>
                <w:sz w:val="28"/>
                <w:szCs w:val="28"/>
              </w:rPr>
            </w:pPr>
            <w:r>
              <w:rPr>
                <w:color w:val="000000" w:themeColor="text1"/>
                <w:sz w:val="28"/>
                <w:szCs w:val="28"/>
              </w:rPr>
              <w:t>витяг з рішення експертної команди з оцінювання повсякденного функціонування особи або копія довідки медико-соціальної експертної комісії, або витяг з рішення експертної команди з оцінювання повсякденного функціонування особи про групу і причину інвалідності (особам віком від 18 років), або копія висновку лікарсько- консультативної комісії закладу охорони здоров’я про встановлення категорії “дитина з інвалідністю” (дітям віком до 18 років).</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допомоги на оздоровлення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 на оздоровлення.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Заява з доданими документами розглядаються у місячний строк з дня їх прийняття або відправлення.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Рішення про відмову у виплаті допомоги на оздоровлення може бути прийняте, якщо:</w:t>
            </w:r>
          </w:p>
          <w:p>
            <w:pPr>
              <w:pStyle w:val="Normal"/>
              <w:widowControl w:val="false"/>
              <w:tabs>
                <w:tab w:val="clear" w:pos="708"/>
                <w:tab w:val="left" w:pos="229" w:leader="none"/>
                <w:tab w:val="left" w:pos="1565" w:leader="none"/>
              </w:tabs>
              <w:ind w:firstLine="390"/>
              <w:rPr>
                <w:sz w:val="28"/>
                <w:szCs w:val="28"/>
              </w:rPr>
            </w:pPr>
            <w:r>
              <w:rPr>
                <w:sz w:val="28"/>
                <w:szCs w:val="28"/>
              </w:rPr>
              <w:t>подані документи не відповідають пункту 7 надання щорічної допомоги на оздоровлення особам з інвалідністю та дітям з інвалідністю, 5 постраждалим внаслідок дії вибухонебезпечних предметів;</w:t>
            </w:r>
          </w:p>
          <w:p>
            <w:pPr>
              <w:pStyle w:val="Normal"/>
              <w:widowControl w:val="false"/>
              <w:tabs>
                <w:tab w:val="clear" w:pos="708"/>
                <w:tab w:val="left" w:pos="229" w:leader="none"/>
                <w:tab w:val="left" w:pos="1565" w:leader="none"/>
              </w:tabs>
              <w:ind w:firstLine="390"/>
              <w:rPr>
                <w:sz w:val="28"/>
                <w:szCs w:val="28"/>
              </w:rPr>
            </w:pPr>
            <w:r>
              <w:rPr>
                <w:sz w:val="28"/>
                <w:szCs w:val="28"/>
              </w:rPr>
              <w:t>надано недостовірну інформацію;</w:t>
            </w:r>
          </w:p>
          <w:p>
            <w:pPr>
              <w:pStyle w:val="Normal"/>
              <w:widowControl w:val="false"/>
              <w:tabs>
                <w:tab w:val="clear" w:pos="708"/>
                <w:tab w:val="left" w:pos="229" w:leader="none"/>
                <w:tab w:val="left" w:pos="1565" w:leader="none"/>
              </w:tabs>
              <w:ind w:firstLine="390"/>
              <w:rPr>
                <w:sz w:val="28"/>
                <w:szCs w:val="28"/>
              </w:rPr>
            </w:pPr>
            <w:r>
              <w:rPr>
                <w:sz w:val="28"/>
                <w:szCs w:val="28"/>
              </w:rPr>
              <w:t>постраждалою особою протягом поточного року отримано безоплатну санаторно-курортну путівку / путівку на оздоровлення / будь-якої грошової компенсації замість санаторно-курортної путівки / компенсацію вартості самостійного санаторнокурортного лікування / щорічну допомогу на оздоровлення за рахунок державного або місцевого бюджетів / допомогу на оздоровлення згідно з іншим нормативно-правовим актом;</w:t>
            </w:r>
          </w:p>
          <w:p>
            <w:pPr>
              <w:pStyle w:val="Normal"/>
              <w:widowControl w:val="false"/>
              <w:tabs>
                <w:tab w:val="clear" w:pos="708"/>
                <w:tab w:val="left" w:pos="229" w:leader="none"/>
                <w:tab w:val="left" w:pos="1565" w:leader="none"/>
              </w:tabs>
              <w:ind w:firstLine="390"/>
              <w:rPr>
                <w:sz w:val="28"/>
                <w:szCs w:val="28"/>
              </w:rPr>
            </w:pPr>
            <w:r>
              <w:rPr>
                <w:sz w:val="28"/>
                <w:szCs w:val="28"/>
              </w:rPr>
              <w:t>заяву подано пізніше 15 жовтня поточного року (про відшкодування неотриманої з вини адміністративного органу допомоги на оздоровлення – більше ніж за два роки);</w:t>
            </w:r>
          </w:p>
          <w:p>
            <w:pPr>
              <w:pStyle w:val="Normal"/>
              <w:widowControl w:val="false"/>
              <w:tabs>
                <w:tab w:val="clear" w:pos="708"/>
                <w:tab w:val="left" w:pos="229" w:leader="none"/>
                <w:tab w:val="left" w:pos="1565" w:leader="none"/>
              </w:tabs>
              <w:ind w:firstLine="390"/>
              <w:rPr>
                <w:sz w:val="28"/>
                <w:szCs w:val="28"/>
              </w:rPr>
            </w:pPr>
            <w:r>
              <w:rPr>
                <w:sz w:val="28"/>
                <w:szCs w:val="28"/>
              </w:rPr>
              <w:t>у разі смерті постраждалої особи.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щорічної допомоги на оздоровлення / відмову у виплаті щорічної допомоги на оздоровлення.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6</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Application>LibreOffice/7.1.0.3$Windows_X86_64 LibreOffice_project/f6099ecf3d29644b5008cc8f48f42f4a40986e4c</Application>
  <AppVersion>15.0000</AppVersion>
  <Pages>6</Pages>
  <Words>1059</Words>
  <Characters>7289</Characters>
  <CharactersWithSpaces>8321</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2025-08-07T09:34:09Z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